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4F2" w:rsidRDefault="00733865">
      <w:pPr>
        <w:pStyle w:val="Standard"/>
        <w:spacing w:after="0" w:line="360" w:lineRule="auto"/>
        <w:jc w:val="center"/>
        <w:rPr>
          <w:rFonts w:ascii="Verdana" w:hAnsi="Verdana"/>
          <w:sz w:val="20"/>
          <w:szCs w:val="20"/>
        </w:rPr>
      </w:pPr>
      <w:bookmarkStart w:id="0" w:name="_GoBack"/>
      <w:bookmarkEnd w:id="0"/>
      <w:r>
        <w:rPr>
          <w:rFonts w:ascii="Verdana" w:hAnsi="Verdana"/>
          <w:sz w:val="20"/>
          <w:szCs w:val="20"/>
        </w:rPr>
        <w:t>Comunicato stampa Falenablu 2015</w:t>
      </w:r>
    </w:p>
    <w:p w:rsidR="00BA44F2" w:rsidRDefault="00733865">
      <w:pPr>
        <w:pStyle w:val="Standard"/>
        <w:spacing w:after="0" w:line="360" w:lineRule="auto"/>
        <w:jc w:val="center"/>
        <w:rPr>
          <w:rFonts w:ascii="Verdana" w:hAnsi="Verdana"/>
          <w:b/>
          <w:sz w:val="20"/>
          <w:szCs w:val="20"/>
        </w:rPr>
      </w:pPr>
      <w:r>
        <w:rPr>
          <w:rFonts w:ascii="Verdana" w:hAnsi="Verdana"/>
          <w:b/>
          <w:sz w:val="20"/>
          <w:szCs w:val="20"/>
        </w:rPr>
        <w:t>PROGETTO FALENABLU 2015</w:t>
      </w:r>
    </w:p>
    <w:p w:rsidR="00BA44F2" w:rsidRDefault="00733865">
      <w:pPr>
        <w:pStyle w:val="Standard"/>
        <w:spacing w:after="0" w:line="360" w:lineRule="auto"/>
        <w:jc w:val="both"/>
        <w:rPr>
          <w:rFonts w:ascii="Verdana" w:hAnsi="Verdana"/>
          <w:sz w:val="20"/>
          <w:szCs w:val="20"/>
        </w:rPr>
      </w:pPr>
      <w:r>
        <w:rPr>
          <w:rFonts w:ascii="Verdana" w:hAnsi="Verdana"/>
          <w:sz w:val="20"/>
          <w:szCs w:val="20"/>
        </w:rPr>
        <w:t xml:space="preserve">Giunge quest’anno alla terza edizione il Progetto Falenablu che consiste in un laboratorio artistico aperto a chiunque abbia </w:t>
      </w:r>
      <w:r>
        <w:rPr>
          <w:rFonts w:ascii="Verdana" w:hAnsi="Verdana"/>
          <w:sz w:val="20"/>
          <w:szCs w:val="20"/>
        </w:rPr>
        <w:t>vissuto situazioni di disagio e violenza, nella coppia o in famiglia; si tratta di una proposta, a titolo gratuito e assolutamente nel rispetto dell’anonimato, rivolta alle donne vittime di violenza ma anche ai loro familiari che hanno vissuto quelle situa</w:t>
      </w:r>
      <w:r>
        <w:rPr>
          <w:rFonts w:ascii="Verdana" w:hAnsi="Verdana"/>
          <w:sz w:val="20"/>
          <w:szCs w:val="20"/>
        </w:rPr>
        <w:t>zioni accanto a loro.</w:t>
      </w:r>
    </w:p>
    <w:p w:rsidR="00BA44F2" w:rsidRDefault="00733865">
      <w:pPr>
        <w:pStyle w:val="Standard"/>
        <w:spacing w:after="0" w:line="360" w:lineRule="auto"/>
        <w:jc w:val="both"/>
        <w:rPr>
          <w:rFonts w:ascii="Verdana" w:hAnsi="Verdana"/>
          <w:sz w:val="20"/>
          <w:szCs w:val="20"/>
        </w:rPr>
      </w:pPr>
      <w:r>
        <w:rPr>
          <w:rFonts w:ascii="Verdana" w:hAnsi="Verdana"/>
          <w:sz w:val="20"/>
          <w:szCs w:val="20"/>
        </w:rPr>
        <w:t>Nel mese di novembre (nei pomeriggi del 6, 13 e 20) sono previsti, presso l’Area Educazione del Mart di Rovereto, tre laboratori nei quali i partecipanti, senza dover narrare il proprio vissuto, potranno effettuare un lavoro su se ste</w:t>
      </w:r>
      <w:r>
        <w:rPr>
          <w:rFonts w:ascii="Verdana" w:hAnsi="Verdana"/>
          <w:sz w:val="20"/>
          <w:szCs w:val="20"/>
        </w:rPr>
        <w:t>ssi, attraverso la manipolazione dell’argilla, per acquisire una maggiore consapevolezza.</w:t>
      </w:r>
    </w:p>
    <w:p w:rsidR="00BA44F2" w:rsidRDefault="00733865">
      <w:pPr>
        <w:pStyle w:val="Standard"/>
        <w:spacing w:after="0" w:line="360" w:lineRule="auto"/>
        <w:jc w:val="both"/>
        <w:rPr>
          <w:rFonts w:ascii="Verdana" w:hAnsi="Verdana"/>
          <w:sz w:val="20"/>
          <w:szCs w:val="20"/>
        </w:rPr>
      </w:pPr>
      <w:r>
        <w:rPr>
          <w:rFonts w:ascii="Verdana" w:hAnsi="Verdana"/>
          <w:sz w:val="20"/>
          <w:szCs w:val="20"/>
        </w:rPr>
        <w:t>L'esperienza offerta nei laboratori pratici di ceramica prevede un percorso autobiografico: qualche segno su una tavoletta di argilla, uno spazio vuoto da riempire, l</w:t>
      </w:r>
      <w:r>
        <w:rPr>
          <w:rFonts w:ascii="Verdana" w:hAnsi="Verdana"/>
          <w:sz w:val="20"/>
          <w:szCs w:val="20"/>
        </w:rPr>
        <w:t>'espressione del non detto. Analizzarsi, conoscersi profondamente, essere consapevole dei sentimenti feriti e dei sentimenti guariti. L'iniziativa offre, come dimostrato nelle edizioni precedenti, un percorso di auto-consapevolezza individuale ai singoli p</w:t>
      </w:r>
      <w:r>
        <w:rPr>
          <w:rFonts w:ascii="Verdana" w:hAnsi="Verdana"/>
          <w:sz w:val="20"/>
          <w:szCs w:val="20"/>
        </w:rPr>
        <w:t>artecipanti e nello stesso tempo si propone come opportunità di riflessione ed incisione sulla cultura del nostro paese. Questo progetto offre alle vittime la possibilità di rielaborare in chiave artistica un vissuto spesso doloroso e difficile da narrare.</w:t>
      </w:r>
      <w:r>
        <w:rPr>
          <w:rFonts w:ascii="Verdana" w:hAnsi="Verdana"/>
          <w:sz w:val="20"/>
          <w:szCs w:val="20"/>
        </w:rPr>
        <w:t xml:space="preserve"> Di violenza contro la donna si deve continuare a parlare in termini affettivi, costruttivi ed espressivi; il fatto che lo faccia un importante museo come il Mart è segno di una sensibilità diffusa che può portare significativi cambiamenti all’interno dell</w:t>
      </w:r>
      <w:r>
        <w:rPr>
          <w:rFonts w:ascii="Verdana" w:hAnsi="Verdana"/>
          <w:sz w:val="20"/>
          <w:szCs w:val="20"/>
        </w:rPr>
        <w:t>a società.</w:t>
      </w:r>
    </w:p>
    <w:p w:rsidR="00BA44F2" w:rsidRDefault="00733865">
      <w:pPr>
        <w:pStyle w:val="Standard"/>
        <w:spacing w:after="0" w:line="360" w:lineRule="auto"/>
        <w:jc w:val="both"/>
        <w:rPr>
          <w:rFonts w:ascii="Verdana" w:hAnsi="Verdana"/>
          <w:sz w:val="20"/>
          <w:szCs w:val="20"/>
        </w:rPr>
      </w:pPr>
      <w:r>
        <w:rPr>
          <w:rFonts w:ascii="Verdana" w:hAnsi="Verdana"/>
          <w:sz w:val="20"/>
          <w:szCs w:val="20"/>
        </w:rPr>
        <w:t xml:space="preserve">Il 25 novembre, in occasione della Giornata mondiale contro la violenza sulle donne, si terrà alle ore 17.00 l’inaugurazione della mostra delle opere realizzate durante il laboratorio; l’esposizione rimarrà aperta al pubblico fino al 9 dicembre </w:t>
      </w:r>
      <w:r>
        <w:rPr>
          <w:rFonts w:ascii="Verdana" w:hAnsi="Verdana"/>
          <w:sz w:val="20"/>
          <w:szCs w:val="20"/>
        </w:rPr>
        <w:t>2015, con orario 9.00-12.00 e 14.00-16.00 dal lunedì al venerdì e domenica con orario 14.30-17.00.</w:t>
      </w:r>
    </w:p>
    <w:p w:rsidR="00BA44F2" w:rsidRDefault="00733865">
      <w:pPr>
        <w:pStyle w:val="Standard"/>
        <w:spacing w:after="0" w:line="360" w:lineRule="auto"/>
        <w:jc w:val="both"/>
        <w:rPr>
          <w:rFonts w:ascii="Verdana" w:hAnsi="Verdana"/>
          <w:sz w:val="20"/>
          <w:szCs w:val="20"/>
        </w:rPr>
      </w:pPr>
      <w:r>
        <w:rPr>
          <w:rFonts w:ascii="Verdana" w:hAnsi="Verdana"/>
          <w:sz w:val="20"/>
          <w:szCs w:val="20"/>
        </w:rPr>
        <w:t>L’inaugurazione sarà preceduta, come ogni anno (nel 2013 con il giornalista Riccardo Iacona e nel 2014 con la scrittrice Michela Murgia), da un seminario tem</w:t>
      </w:r>
      <w:r>
        <w:rPr>
          <w:rFonts w:ascii="Verdana" w:hAnsi="Verdana"/>
          <w:sz w:val="20"/>
          <w:szCs w:val="20"/>
        </w:rPr>
        <w:t>atico, con esperti del settore.</w:t>
      </w:r>
    </w:p>
    <w:p w:rsidR="00BA44F2" w:rsidRDefault="00733865">
      <w:pPr>
        <w:pStyle w:val="Standard"/>
        <w:spacing w:after="0" w:line="360" w:lineRule="auto"/>
        <w:jc w:val="both"/>
        <w:rPr>
          <w:rFonts w:ascii="Verdana" w:hAnsi="Verdana"/>
          <w:sz w:val="20"/>
          <w:szCs w:val="20"/>
        </w:rPr>
      </w:pPr>
      <w:r>
        <w:rPr>
          <w:rFonts w:ascii="Verdana" w:hAnsi="Verdana"/>
          <w:sz w:val="20"/>
          <w:szCs w:val="20"/>
        </w:rPr>
        <w:t>Il seminario di questa edizione, dal titolo “C’è chi dice no”, è previsto per le ore 14.30 del 25 novembre nell’Area Educazione del Mart ed è valido ai fini dell’aggiornamento per insegnanti (prenotazioni ai numeri 0464/4541</w:t>
      </w:r>
      <w:r>
        <w:rPr>
          <w:rFonts w:ascii="Verdana" w:hAnsi="Verdana"/>
          <w:sz w:val="20"/>
          <w:szCs w:val="20"/>
        </w:rPr>
        <w:t>08 e 0464/454159). Saranno presenti Micaela Crisma, psicologa e psicoterapeuta, Marco Dallari, professore ordinario del Dipartimento di Psicologia e Scienze Cognitive dell’Università degli Studi di Trento, e Maura Misiti, ricercatrice e co-autrice con Sere</w:t>
      </w:r>
      <w:r>
        <w:rPr>
          <w:rFonts w:ascii="Verdana" w:hAnsi="Verdana"/>
          <w:sz w:val="20"/>
          <w:szCs w:val="20"/>
        </w:rPr>
        <w:t>na Dandini dello spettacolo teatrale “Ferite a morte”.</w:t>
      </w:r>
    </w:p>
    <w:p w:rsidR="00BA44F2" w:rsidRDefault="00733865">
      <w:pPr>
        <w:pStyle w:val="Standard"/>
        <w:spacing w:after="0" w:line="360" w:lineRule="auto"/>
        <w:jc w:val="both"/>
        <w:rPr>
          <w:rFonts w:ascii="Verdana" w:hAnsi="Verdana"/>
          <w:sz w:val="20"/>
          <w:szCs w:val="20"/>
        </w:rPr>
      </w:pPr>
      <w:r>
        <w:rPr>
          <w:rFonts w:ascii="Verdana" w:hAnsi="Verdana"/>
          <w:sz w:val="20"/>
          <w:szCs w:val="20"/>
        </w:rPr>
        <w:t xml:space="preserve">Il seminario di aggiornamento rivolto a docenti delle scuole primarie e secondarie e agli operatori del settore sociale prevede tre tavoli di lavoro moderati ciascuno dai tre relatori, con l’obiettivo </w:t>
      </w:r>
      <w:r>
        <w:rPr>
          <w:rFonts w:ascii="Verdana" w:hAnsi="Verdana"/>
          <w:sz w:val="20"/>
          <w:szCs w:val="20"/>
        </w:rPr>
        <w:t>di approfondire i meccanismi di sudditanza spesso insiti nella vittima in modo inconsapevole, di indagare il dolore, la violenza e il riscatto attraverso le figure della cura di sé, la narrazione che cura e la manipolazione artistica.</w:t>
      </w:r>
    </w:p>
    <w:p w:rsidR="00BA44F2" w:rsidRDefault="00733865">
      <w:pPr>
        <w:pStyle w:val="Standard"/>
        <w:spacing w:after="0" w:line="360" w:lineRule="auto"/>
        <w:jc w:val="both"/>
      </w:pPr>
      <w:r>
        <w:rPr>
          <w:rFonts w:ascii="Verdana" w:hAnsi="Verdana"/>
          <w:sz w:val="20"/>
          <w:szCs w:val="20"/>
        </w:rPr>
        <w:lastRenderedPageBreak/>
        <w:t>Per informazioni e is</w:t>
      </w:r>
      <w:r>
        <w:rPr>
          <w:rFonts w:ascii="Verdana" w:hAnsi="Verdana"/>
          <w:sz w:val="20"/>
          <w:szCs w:val="20"/>
        </w:rPr>
        <w:t xml:space="preserve">crizioni ai laboratori (entro il 31 ottobre): progetto.falenablu@gmail.com e </w:t>
      </w:r>
      <w:hyperlink r:id="rId6" w:history="1">
        <w:r>
          <w:rPr>
            <w:rFonts w:ascii="Verdana" w:hAnsi="Verdana"/>
            <w:sz w:val="20"/>
            <w:szCs w:val="20"/>
          </w:rPr>
          <w:t>www.falenablu.it</w:t>
        </w:r>
      </w:hyperlink>
      <w:r>
        <w:rPr>
          <w:rFonts w:ascii="Verdana" w:hAnsi="Verdana"/>
          <w:sz w:val="20"/>
          <w:szCs w:val="20"/>
        </w:rPr>
        <w:t>.</w:t>
      </w:r>
    </w:p>
    <w:p w:rsidR="00BA44F2" w:rsidRDefault="00733865">
      <w:pPr>
        <w:pStyle w:val="Standard"/>
        <w:spacing w:after="0" w:line="360" w:lineRule="auto"/>
        <w:jc w:val="both"/>
      </w:pPr>
      <w:r>
        <w:rPr>
          <w:rFonts w:ascii="Verdana" w:hAnsi="Verdana"/>
          <w:sz w:val="20"/>
          <w:szCs w:val="20"/>
        </w:rPr>
        <w:t xml:space="preserve">Per iscrizioni ai seminari contattare l'Area Educazione del Mart </w:t>
      </w:r>
      <w:r>
        <w:rPr>
          <w:rFonts w:ascii="Trebuchet MS" w:hAnsi="Trebuchet MS"/>
          <w:color w:val="4A442A"/>
          <w:sz w:val="21"/>
          <w:szCs w:val="20"/>
        </w:rPr>
        <w:t>0464.454108 e 0464.454159</w:t>
      </w:r>
      <w:r>
        <w:rPr>
          <w:rFonts w:ascii="Verdana" w:hAnsi="Verdana"/>
          <w:sz w:val="20"/>
          <w:szCs w:val="20"/>
        </w:rPr>
        <w:t xml:space="preserve">  con rilascio di attestato d</w:t>
      </w:r>
      <w:r>
        <w:rPr>
          <w:rFonts w:ascii="Verdana" w:hAnsi="Verdana"/>
          <w:sz w:val="20"/>
          <w:szCs w:val="20"/>
        </w:rPr>
        <w:t>i partecipazione valido ai fini dell'aggiornamento.</w:t>
      </w:r>
    </w:p>
    <w:p w:rsidR="00BA44F2" w:rsidRDefault="00BA44F2">
      <w:pPr>
        <w:pStyle w:val="Standard"/>
        <w:spacing w:after="0" w:line="360" w:lineRule="auto"/>
        <w:jc w:val="both"/>
        <w:rPr>
          <w:rFonts w:ascii="Verdana" w:hAnsi="Verdana"/>
          <w:sz w:val="20"/>
          <w:szCs w:val="20"/>
        </w:rPr>
      </w:pPr>
    </w:p>
    <w:p w:rsidR="00BA44F2" w:rsidRDefault="00733865">
      <w:pPr>
        <w:pStyle w:val="Standard"/>
        <w:spacing w:after="0" w:line="360" w:lineRule="auto"/>
        <w:jc w:val="center"/>
        <w:rPr>
          <w:rFonts w:ascii="Verdana" w:hAnsi="Verdana"/>
          <w:b/>
          <w:sz w:val="20"/>
          <w:szCs w:val="20"/>
        </w:rPr>
      </w:pPr>
      <w:r>
        <w:rPr>
          <w:rFonts w:ascii="Verdana" w:hAnsi="Verdana"/>
          <w:b/>
          <w:sz w:val="20"/>
          <w:szCs w:val="20"/>
        </w:rPr>
        <w:t>Dettagli del seminario</w:t>
      </w:r>
    </w:p>
    <w:p w:rsidR="00BA44F2" w:rsidRDefault="00733865">
      <w:pPr>
        <w:pStyle w:val="Standard"/>
        <w:spacing w:after="0" w:line="360" w:lineRule="auto"/>
        <w:jc w:val="center"/>
        <w:rPr>
          <w:rFonts w:ascii="Verdana" w:hAnsi="Verdana"/>
          <w:b/>
          <w:sz w:val="20"/>
          <w:szCs w:val="20"/>
        </w:rPr>
      </w:pPr>
      <w:r>
        <w:rPr>
          <w:rFonts w:ascii="Verdana" w:hAnsi="Verdana"/>
          <w:b/>
          <w:sz w:val="20"/>
          <w:szCs w:val="20"/>
        </w:rPr>
        <w:t>“C’è chi dice no”</w:t>
      </w:r>
    </w:p>
    <w:p w:rsidR="00BA44F2" w:rsidRDefault="00BA44F2">
      <w:pPr>
        <w:pStyle w:val="Standard"/>
        <w:spacing w:after="0" w:line="360" w:lineRule="auto"/>
        <w:jc w:val="both"/>
        <w:rPr>
          <w:rFonts w:ascii="Verdana" w:hAnsi="Verdana"/>
          <w:sz w:val="20"/>
          <w:szCs w:val="20"/>
        </w:rPr>
      </w:pPr>
    </w:p>
    <w:p w:rsidR="00BA44F2" w:rsidRDefault="00733865">
      <w:pPr>
        <w:pStyle w:val="Standard"/>
        <w:spacing w:after="0" w:line="360" w:lineRule="auto"/>
        <w:jc w:val="both"/>
      </w:pPr>
      <w:r>
        <w:rPr>
          <w:rFonts w:ascii="Verdana" w:hAnsi="Verdana"/>
          <w:sz w:val="20"/>
          <w:szCs w:val="20"/>
        </w:rPr>
        <w:t xml:space="preserve">L’intervento di </w:t>
      </w:r>
      <w:r>
        <w:rPr>
          <w:rFonts w:ascii="Verdana" w:hAnsi="Verdana"/>
          <w:b/>
          <w:sz w:val="20"/>
          <w:szCs w:val="20"/>
        </w:rPr>
        <w:t>Micaela Crisma</w:t>
      </w:r>
      <w:r>
        <w:rPr>
          <w:rFonts w:ascii="Verdana" w:hAnsi="Verdana"/>
          <w:sz w:val="20"/>
          <w:szCs w:val="20"/>
        </w:rPr>
        <w:t>, “A.A.A. Ascoltare, Accogliere, Attivarsi”, verte sulla violenza di genere su donne e bambini. La violenza di genere riguarda le d</w:t>
      </w:r>
      <w:r>
        <w:rPr>
          <w:rFonts w:ascii="Verdana" w:hAnsi="Verdana"/>
          <w:sz w:val="20"/>
          <w:szCs w:val="20"/>
        </w:rPr>
        <w:t>onne in quanto donne e oltre a essere un fenomeno diffuso e trasversale, è stata riconosciuta come una profonda violazione dei diritti umani. Essa purtroppo coinvolge quasi sempre anche i minori, talvolta in maniera evidente, altre volte in modi più subdol</w:t>
      </w:r>
      <w:r>
        <w:rPr>
          <w:rFonts w:ascii="Verdana" w:hAnsi="Verdana"/>
          <w:sz w:val="20"/>
          <w:szCs w:val="20"/>
        </w:rPr>
        <w:t>i.</w:t>
      </w:r>
    </w:p>
    <w:p w:rsidR="00BA44F2" w:rsidRDefault="00733865">
      <w:pPr>
        <w:pStyle w:val="Standard"/>
        <w:spacing w:after="0" w:line="360" w:lineRule="auto"/>
        <w:jc w:val="both"/>
        <w:rPr>
          <w:rFonts w:ascii="Verdana" w:hAnsi="Verdana"/>
          <w:bCs/>
          <w:sz w:val="20"/>
          <w:szCs w:val="20"/>
        </w:rPr>
      </w:pPr>
      <w:r>
        <w:rPr>
          <w:rFonts w:ascii="Verdana" w:hAnsi="Verdana"/>
          <w:bCs/>
          <w:sz w:val="20"/>
          <w:szCs w:val="20"/>
        </w:rPr>
        <w:t>Il seminario si propone di affrontare le radici del problema, evidenziando la diffusione e la “banalità” di questo male, fornendo alcune indicazioni su come accogliere la donna maltrattata e quali errori evitare, discutendo poi i collegamenti tra la vio</w:t>
      </w:r>
      <w:r>
        <w:rPr>
          <w:rFonts w:ascii="Verdana" w:hAnsi="Verdana"/>
          <w:bCs/>
          <w:sz w:val="20"/>
          <w:szCs w:val="20"/>
        </w:rPr>
        <w:t>lenza agita sulla donna e le ripercussioni sui figli. Gli operatori riceveranno alcune proposte e indicazioni su come agire per ascoltare, accogliere e attivarsi in caso di bisogno.</w:t>
      </w:r>
    </w:p>
    <w:p w:rsidR="00BA44F2" w:rsidRDefault="00BA44F2">
      <w:pPr>
        <w:pStyle w:val="Standard"/>
        <w:spacing w:after="0" w:line="360" w:lineRule="auto"/>
        <w:jc w:val="both"/>
        <w:rPr>
          <w:rFonts w:ascii="Verdana" w:hAnsi="Verdana"/>
          <w:sz w:val="20"/>
          <w:szCs w:val="20"/>
        </w:rPr>
      </w:pPr>
    </w:p>
    <w:p w:rsidR="00BA44F2" w:rsidRDefault="00733865">
      <w:pPr>
        <w:pStyle w:val="Standard"/>
        <w:spacing w:after="0" w:line="360" w:lineRule="auto"/>
        <w:jc w:val="both"/>
      </w:pPr>
      <w:r>
        <w:rPr>
          <w:rFonts w:ascii="Verdana" w:hAnsi="Verdana"/>
          <w:b/>
          <w:sz w:val="20"/>
          <w:szCs w:val="20"/>
        </w:rPr>
        <w:t>Marco Dallari</w:t>
      </w:r>
      <w:r>
        <w:rPr>
          <w:rFonts w:ascii="Verdana" w:hAnsi="Verdana"/>
          <w:sz w:val="20"/>
          <w:szCs w:val="20"/>
        </w:rPr>
        <w:t xml:space="preserve"> approfondisce l’idea della cura che in ambito educativo e all’interno delle professioni di aiuto diviene “prendersi cura”, corrispondente dell’anglofono ‘</w:t>
      </w:r>
      <w:r>
        <w:rPr>
          <w:rFonts w:ascii="Verdana" w:hAnsi="Verdana"/>
          <w:i/>
          <w:sz w:val="20"/>
          <w:szCs w:val="20"/>
        </w:rPr>
        <w:t>to care</w:t>
      </w:r>
      <w:r>
        <w:rPr>
          <w:rFonts w:ascii="Verdana" w:hAnsi="Verdana"/>
          <w:sz w:val="20"/>
          <w:szCs w:val="20"/>
        </w:rPr>
        <w:t>’. Un'idea della cura, dunque, legata all'atteggiamento e alle pratiche del “prendere in caric</w:t>
      </w:r>
      <w:r>
        <w:rPr>
          <w:rFonts w:ascii="Verdana" w:hAnsi="Verdana"/>
          <w:sz w:val="20"/>
          <w:szCs w:val="20"/>
        </w:rPr>
        <w:t xml:space="preserve">o". Da Freud in poi siamo peraltro ben consapevoli di come solo dall'esperienza di qualcuno che si prende cura di noi (a partire dall'esperienza della relazione del bambino con la madre) si costruisce il senso dell'esserci e la possibilità di guardare con </w:t>
      </w:r>
      <w:r>
        <w:rPr>
          <w:rFonts w:ascii="Verdana" w:hAnsi="Verdana"/>
          <w:sz w:val="20"/>
          <w:szCs w:val="20"/>
        </w:rPr>
        <w:t>fiducia a un futuro fondato sulla ricettività, sul saper accettare e sulla disponibilità. La pedagogista Luigina Mortari ci invita a notare come chi riceve cura si scopre capace di prendersi cura a sua volta (dell’ambiente, dei simili, di sé).    Nell'esis</w:t>
      </w:r>
      <w:r>
        <w:rPr>
          <w:rFonts w:ascii="Verdana" w:hAnsi="Verdana"/>
          <w:sz w:val="20"/>
          <w:szCs w:val="20"/>
        </w:rPr>
        <w:t>tere umano il lavoro di cura viene ad assumere uno statuto non solo etico ma anche politico, grazie al quale ci scopriamo in grado non di conoscere l'idea del bene che in sé è "come un'idea che va esaminata all'infinito", ma di sentire la passione per il b</w:t>
      </w:r>
      <w:r>
        <w:rPr>
          <w:rFonts w:ascii="Verdana" w:hAnsi="Verdana"/>
          <w:sz w:val="20"/>
          <w:szCs w:val="20"/>
        </w:rPr>
        <w:t>ene e la sua sovranità” (Mortari “Filosofia della cura”, 2014). Per essere buoni operatori della cura occorre dunque essere dotati di competenza emotiva. La competenza emotiva, obiettivo pedagogico e requisito indispensabile di ogni operatore delle relazio</w:t>
      </w:r>
      <w:r>
        <w:rPr>
          <w:rFonts w:ascii="Verdana" w:hAnsi="Verdana"/>
          <w:sz w:val="20"/>
          <w:szCs w:val="20"/>
        </w:rPr>
        <w:t>ni di cura, consiste nel saper riconoscere, nominare, accettare e gestire le caratteristiche emozionali proprie e altrui ed essere dotati di capacità empatiche. Per potersi definire emotivamente competenti è poi importante saper trovare e porgere riferimen</w:t>
      </w:r>
      <w:r>
        <w:rPr>
          <w:rFonts w:ascii="Verdana" w:hAnsi="Verdana"/>
          <w:sz w:val="20"/>
          <w:szCs w:val="20"/>
        </w:rPr>
        <w:t>ti, modelli e figure nel patrimonio culturale disponibile delle categorie emozionali. I racconti e i contenuti dei racconti sono materiali e repertori insostituibili per la costruzione di una consapevolezza emozionale e identitaria. Conoscere e saper porge</w:t>
      </w:r>
      <w:r>
        <w:rPr>
          <w:rFonts w:ascii="Verdana" w:hAnsi="Verdana"/>
          <w:sz w:val="20"/>
          <w:szCs w:val="20"/>
        </w:rPr>
        <w:t xml:space="preserve">re storie, metafore e figure degli stati emozionali non è dunque un “valore aggiunto” dell’operatore, ma un patrimonio </w:t>
      </w:r>
      <w:r>
        <w:rPr>
          <w:rFonts w:ascii="Verdana" w:hAnsi="Verdana"/>
          <w:sz w:val="20"/>
          <w:szCs w:val="20"/>
        </w:rPr>
        <w:lastRenderedPageBreak/>
        <w:t>indispensabile da offrire e condividere perché la pratica di cura non sia solo protezione e accudimento ma, come suggerisce Mortari, eman</w:t>
      </w:r>
      <w:r>
        <w:rPr>
          <w:rFonts w:ascii="Verdana" w:hAnsi="Verdana"/>
          <w:sz w:val="20"/>
          <w:szCs w:val="20"/>
        </w:rPr>
        <w:t>cipazione e costruzione della coscienza di sé e dell’identità personale.</w:t>
      </w:r>
    </w:p>
    <w:p w:rsidR="00BA44F2" w:rsidRDefault="00BA44F2">
      <w:pPr>
        <w:pStyle w:val="Standard"/>
        <w:spacing w:after="0" w:line="360" w:lineRule="auto"/>
        <w:jc w:val="both"/>
        <w:rPr>
          <w:rFonts w:ascii="Verdana" w:hAnsi="Verdana"/>
          <w:sz w:val="20"/>
          <w:szCs w:val="20"/>
        </w:rPr>
      </w:pPr>
    </w:p>
    <w:p w:rsidR="00BA44F2" w:rsidRDefault="00733865">
      <w:pPr>
        <w:pStyle w:val="Standard"/>
        <w:spacing w:after="0" w:line="360" w:lineRule="auto"/>
        <w:jc w:val="both"/>
      </w:pPr>
      <w:r>
        <w:rPr>
          <w:rFonts w:ascii="Verdana" w:hAnsi="Verdana"/>
          <w:b/>
          <w:sz w:val="20"/>
          <w:szCs w:val="20"/>
        </w:rPr>
        <w:t>Maura Misiti</w:t>
      </w:r>
      <w:r>
        <w:rPr>
          <w:rFonts w:ascii="Verdana" w:hAnsi="Verdana"/>
          <w:sz w:val="20"/>
          <w:szCs w:val="20"/>
        </w:rPr>
        <w:t xml:space="preserve"> nel suo contributo “Lo sapevano tutti…” condivide riflessioni sul femminicidio e la violenza contro le donne. Diane Russel, scienziata, ricercatrice ed attivista, pionie</w:t>
      </w:r>
      <w:r>
        <w:rPr>
          <w:rFonts w:ascii="Verdana" w:hAnsi="Verdana"/>
          <w:sz w:val="20"/>
          <w:szCs w:val="20"/>
        </w:rPr>
        <w:t xml:space="preserve">ra degli studi sul femminicidio lo definisce così: </w:t>
      </w:r>
      <w:r>
        <w:rPr>
          <w:rFonts w:ascii="Verdana" w:hAnsi="Verdana"/>
          <w:i/>
          <w:sz w:val="20"/>
          <w:szCs w:val="20"/>
        </w:rPr>
        <w:t>“una violenza estrema da parte dell’uomo contro la donna «perché donna»”</w:t>
      </w:r>
      <w:r>
        <w:rPr>
          <w:rFonts w:ascii="Verdana" w:hAnsi="Verdana"/>
          <w:sz w:val="20"/>
          <w:szCs w:val="20"/>
        </w:rPr>
        <w:t>.</w:t>
      </w:r>
    </w:p>
    <w:p w:rsidR="00BA44F2" w:rsidRDefault="00733865">
      <w:pPr>
        <w:pStyle w:val="Standard"/>
        <w:spacing w:after="0" w:line="360" w:lineRule="auto"/>
        <w:jc w:val="both"/>
        <w:rPr>
          <w:rFonts w:ascii="Verdana" w:hAnsi="Verdana"/>
          <w:sz w:val="20"/>
          <w:szCs w:val="20"/>
        </w:rPr>
      </w:pPr>
      <w:r>
        <w:rPr>
          <w:rFonts w:ascii="Verdana" w:hAnsi="Verdana"/>
          <w:sz w:val="20"/>
          <w:szCs w:val="20"/>
        </w:rPr>
        <w:t>Una parola poco amata nella lingua italiana, entrata recentemente nell’uso corrente, ma ormai diffusa e adottata nel discorso pubbl</w:t>
      </w:r>
      <w:r>
        <w:rPr>
          <w:rFonts w:ascii="Verdana" w:hAnsi="Verdana"/>
          <w:sz w:val="20"/>
          <w:szCs w:val="20"/>
        </w:rPr>
        <w:t>ico, nei media e nella politica… tanto da dare il titolo addirittura ad una legge. La sua efficacia è provata dalla presenza, oltre che nel Vocabolario Treccani.it, anche nelle ultime edizioni dello Zingarelli, del Garzanti, del Devoto-Oli. In realtà non e</w:t>
      </w:r>
      <w:r>
        <w:rPr>
          <w:rFonts w:ascii="Verdana" w:hAnsi="Verdana"/>
          <w:sz w:val="20"/>
          <w:szCs w:val="20"/>
        </w:rPr>
        <w:t>siste una definizione condivisa e univoca del femminicidio ed anche per questo è difficile avere dati completamente affidabili e confrontabili.  Definizioni, interpretazioni e stime da parte di organizzazioni, agenzie internazionali, danno sempre più infor</w:t>
      </w:r>
      <w:r>
        <w:rPr>
          <w:rFonts w:ascii="Verdana" w:hAnsi="Verdana"/>
          <w:sz w:val="20"/>
          <w:szCs w:val="20"/>
        </w:rPr>
        <w:t>mazioni sul fenomeno, ma resta complicato avere una visione di insieme e soprattutto confrontabile.  Solo in alcuni paesi il femminicidio è definito come reato (Messico, Guatemala, Costa Rica, Venezuela, Cile, El Salvador e, più recentemente, Perù e Argent</w:t>
      </w:r>
      <w:r>
        <w:rPr>
          <w:rFonts w:ascii="Verdana" w:hAnsi="Verdana"/>
          <w:sz w:val="20"/>
          <w:szCs w:val="20"/>
        </w:rPr>
        <w:t>ina).</w:t>
      </w:r>
    </w:p>
    <w:p w:rsidR="00BA44F2" w:rsidRDefault="00733865">
      <w:pPr>
        <w:pStyle w:val="Standard"/>
        <w:spacing w:after="0" w:line="360" w:lineRule="auto"/>
        <w:jc w:val="both"/>
        <w:rPr>
          <w:rFonts w:ascii="Verdana" w:hAnsi="Verdana"/>
          <w:sz w:val="20"/>
          <w:szCs w:val="20"/>
        </w:rPr>
      </w:pPr>
      <w:r>
        <w:rPr>
          <w:rFonts w:ascii="Verdana" w:hAnsi="Verdana"/>
          <w:sz w:val="20"/>
          <w:szCs w:val="20"/>
        </w:rPr>
        <w:t xml:space="preserve">Il femminicidio è l’esito estremo di un continuum di violenze, soprattutto quelle che avvengono nell’ambito di una relazione intima, ma anche di tante forme diverse declinate in base alla religione, alle pratiche culturali, a condizioni particolari </w:t>
      </w:r>
      <w:r>
        <w:rPr>
          <w:rFonts w:ascii="Verdana" w:hAnsi="Verdana"/>
          <w:sz w:val="20"/>
          <w:szCs w:val="20"/>
        </w:rPr>
        <w:t>come guerre e conflitti, e tutte legate al tema del potere, del patriarcato che porta alla sottomissione, alla discriminazione, all’esposizione alla violenza di donne e bambine.</w:t>
      </w:r>
    </w:p>
    <w:p w:rsidR="00BA44F2" w:rsidRDefault="00733865">
      <w:pPr>
        <w:pStyle w:val="Standard"/>
        <w:spacing w:after="0" w:line="360" w:lineRule="auto"/>
        <w:jc w:val="both"/>
        <w:rPr>
          <w:rFonts w:ascii="Verdana" w:hAnsi="Verdana"/>
          <w:sz w:val="20"/>
          <w:szCs w:val="20"/>
        </w:rPr>
      </w:pPr>
      <w:r>
        <w:rPr>
          <w:rFonts w:ascii="Verdana" w:hAnsi="Verdana"/>
          <w:sz w:val="20"/>
          <w:szCs w:val="20"/>
        </w:rPr>
        <w:t>Tuttavia il solo “nominare” il femminicidio e la conoscenza pur superficiale d</w:t>
      </w:r>
      <w:r>
        <w:rPr>
          <w:rFonts w:ascii="Verdana" w:hAnsi="Verdana"/>
          <w:sz w:val="20"/>
          <w:szCs w:val="20"/>
        </w:rPr>
        <w:t>egli effetti della violenza di genere hanno provocato una crescente attenzione e consapevolezza nella società civile e nelle istituzioni.</w:t>
      </w:r>
    </w:p>
    <w:p w:rsidR="00BA44F2" w:rsidRDefault="00733865">
      <w:pPr>
        <w:pStyle w:val="Standard"/>
        <w:spacing w:after="0" w:line="360" w:lineRule="auto"/>
        <w:jc w:val="both"/>
        <w:rPr>
          <w:rFonts w:ascii="Verdana" w:hAnsi="Verdana"/>
          <w:sz w:val="20"/>
          <w:szCs w:val="20"/>
        </w:rPr>
      </w:pPr>
      <w:r>
        <w:rPr>
          <w:rFonts w:ascii="Verdana" w:hAnsi="Verdana"/>
          <w:sz w:val="20"/>
          <w:szCs w:val="20"/>
        </w:rPr>
        <w:t xml:space="preserve">Sulla base di tali riflessioni, nel corso del seminario si affrontano le questioni che stanno alla base del fenomeno, </w:t>
      </w:r>
      <w:r>
        <w:rPr>
          <w:rFonts w:ascii="Verdana" w:hAnsi="Verdana"/>
          <w:sz w:val="20"/>
          <w:szCs w:val="20"/>
        </w:rPr>
        <w:t>la sua definizione e le sue dimensioni in Italia e nel mondo, cosa si è fatto e cosa si potrebbe fare, per concludere con il racconto dell’intensa esperienza di mobilitazione internazionale del progetto “Ferite a morte” (i monologhi scritti da Serena Dandi</w:t>
      </w:r>
      <w:r>
        <w:rPr>
          <w:rFonts w:ascii="Verdana" w:hAnsi="Verdana"/>
          <w:sz w:val="20"/>
          <w:szCs w:val="20"/>
        </w:rPr>
        <w:t>ni e Maura Misiti, diventati libro, spettacolo teatrale e strumento di sensibilizzazione).</w:t>
      </w:r>
    </w:p>
    <w:p w:rsidR="00BA44F2" w:rsidRDefault="00BA44F2">
      <w:pPr>
        <w:pStyle w:val="Standard"/>
      </w:pPr>
    </w:p>
    <w:sectPr w:rsidR="00BA44F2">
      <w:pgSz w:w="11906" w:h="16838"/>
      <w:pgMar w:top="1417"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733865">
      <w:pPr>
        <w:spacing w:after="0" w:line="240" w:lineRule="auto"/>
      </w:pPr>
      <w:r>
        <w:separator/>
      </w:r>
    </w:p>
  </w:endnote>
  <w:endnote w:type="continuationSeparator" w:id="0">
    <w:p w:rsidR="00000000" w:rsidRDefault="00733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733865">
      <w:pPr>
        <w:spacing w:after="0" w:line="240" w:lineRule="auto"/>
      </w:pPr>
      <w:r>
        <w:rPr>
          <w:color w:val="000000"/>
        </w:rPr>
        <w:separator/>
      </w:r>
    </w:p>
  </w:footnote>
  <w:footnote w:type="continuationSeparator" w:id="0">
    <w:p w:rsidR="00000000" w:rsidRDefault="007338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BA44F2"/>
    <w:rsid w:val="00733865"/>
    <w:rsid w:val="00BA44F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DA6654-300C-4D1C-95B8-F9AACDAF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ahoma"/>
        <w:kern w:val="3"/>
        <w:sz w:val="22"/>
        <w:szCs w:val="22"/>
        <w:lang w:val="it-IT"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hAnsi="Arial" w:cs="Mangal"/>
      <w:sz w:val="28"/>
      <w:szCs w:val="28"/>
    </w:rPr>
  </w:style>
  <w:style w:type="paragraph" w:customStyle="1" w:styleId="Textbody">
    <w:name w:val="Text body"/>
    <w:basedOn w:val="Standard"/>
    <w:pPr>
      <w:spacing w:after="120"/>
    </w:pPr>
  </w:style>
  <w:style w:type="paragraph" w:styleId="Elenco">
    <w:name w:val="List"/>
    <w:basedOn w:val="Textbody"/>
    <w:rPr>
      <w:rFonts w:cs="Mangal"/>
    </w:rPr>
  </w:style>
  <w:style w:type="paragraph" w:styleId="Didascalia">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Testofumetto">
    <w:name w:val="Balloon Text"/>
    <w:basedOn w:val="Standard"/>
  </w:style>
  <w:style w:type="character" w:customStyle="1" w:styleId="Internetlink">
    <w:name w:val="Internet link"/>
    <w:basedOn w:val="Carpredefinitoparagrafo"/>
    <w:rPr>
      <w:color w:val="0000FF"/>
      <w:u w:val="single"/>
    </w:rPr>
  </w:style>
  <w:style w:type="character" w:customStyle="1" w:styleId="TestofumettoCarattere">
    <w:name w:val="Testo fumetto Carattere"/>
    <w:basedOn w:val="Carpredefinitoparagrafo"/>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nablu.i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DC077B12</Template>
  <TotalTime>0</TotalTime>
  <Pages>3</Pages>
  <Words>1330</Words>
  <Characters>7587</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Irene Matassoni</cp:lastModifiedBy>
  <cp:revision>2</cp:revision>
  <cp:lastPrinted>2015-09-20T12:35:00Z</cp:lastPrinted>
  <dcterms:created xsi:type="dcterms:W3CDTF">2015-11-19T15:12:00Z</dcterms:created>
  <dcterms:modified xsi:type="dcterms:W3CDTF">2015-11-19T15:12:00Z</dcterms:modified>
</cp:coreProperties>
</file>